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B0364" w14:textId="77777777" w:rsidR="0038465E" w:rsidRPr="0038465E" w:rsidRDefault="0038465E" w:rsidP="00086A12">
      <w:pPr>
        <w:shd w:val="clear" w:color="auto" w:fill="FFFFFF"/>
        <w:spacing w:before="120" w:after="120" w:line="240" w:lineRule="auto"/>
        <w:outlineLvl w:val="1"/>
        <w:rPr>
          <w:rFonts w:ascii="Arial" w:eastAsia="Times New Roman" w:hAnsi="Arial" w:cs="Arial"/>
          <w:color w:val="333333"/>
          <w:kern w:val="36"/>
          <w:sz w:val="34"/>
          <w:szCs w:val="34"/>
          <w:lang w:eastAsia="en-AU"/>
        </w:rPr>
      </w:pPr>
      <w:bookmarkStart w:id="0" w:name="_GoBack"/>
      <w:bookmarkEnd w:id="0"/>
      <w:r w:rsidRPr="0038465E">
        <w:rPr>
          <w:rFonts w:ascii="Arial" w:eastAsia="Times New Roman" w:hAnsi="Arial" w:cs="Arial"/>
          <w:color w:val="333333"/>
          <w:kern w:val="36"/>
          <w:sz w:val="34"/>
          <w:szCs w:val="34"/>
          <w:lang w:eastAsia="en-AU"/>
        </w:rPr>
        <w:t>Strategic Plan</w:t>
      </w:r>
      <w:r>
        <w:rPr>
          <w:rFonts w:ascii="Arial" w:eastAsia="Times New Roman" w:hAnsi="Arial" w:cs="Arial"/>
          <w:noProof/>
          <w:color w:val="333333"/>
          <w:kern w:val="36"/>
          <w:sz w:val="34"/>
          <w:szCs w:val="34"/>
          <w:lang w:eastAsia="en-AU"/>
        </w:rPr>
        <w:drawing>
          <wp:inline distT="0" distB="0" distL="0" distR="0" wp14:anchorId="1FBC91F2" wp14:editId="2037B7E0">
            <wp:extent cx="9525" cy="9525"/>
            <wp:effectExtent l="0" t="0" r="0" b="0"/>
            <wp:docPr id="2" name="Picture 2" descr="This is a featured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C-featuredPageImage" descr="This is a featured p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65E">
        <w:rPr>
          <w:rFonts w:ascii="Arial" w:eastAsia="Times New Roman" w:hAnsi="Arial" w:cs="Arial"/>
          <w:color w:val="333333"/>
          <w:kern w:val="36"/>
          <w:sz w:val="34"/>
          <w:szCs w:val="34"/>
          <w:lang w:eastAsia="en-AU"/>
        </w:rPr>
        <w:t xml:space="preserve"> </w:t>
      </w:r>
    </w:p>
    <w:p w14:paraId="4BCDBC77" w14:textId="77777777" w:rsidR="0038465E" w:rsidRPr="0038465E" w:rsidRDefault="0038465E" w:rsidP="00086A12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en-AU"/>
        </w:rPr>
      </w:pPr>
      <w:r>
        <w:rPr>
          <w:rFonts w:ascii="Arial" w:eastAsia="Times New Roman" w:hAnsi="Arial" w:cs="Arial"/>
          <w:noProof/>
          <w:color w:val="497FB1"/>
          <w:sz w:val="21"/>
          <w:szCs w:val="21"/>
          <w:lang w:eastAsia="en-AU"/>
        </w:rPr>
        <mc:AlternateContent>
          <mc:Choice Requires="wps">
            <w:drawing>
              <wp:inline distT="0" distB="0" distL="0" distR="0" wp14:anchorId="1495C061" wp14:editId="5001FEF6">
                <wp:extent cx="304800" cy="304800"/>
                <wp:effectExtent l="0" t="0" r="0" b="0"/>
                <wp:docPr id="1" name="Rectangle 1" descr="http://ads.wikifoundrytools.com/leaderboard1.png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3802BD" id="Rectangle 1" o:spid="_x0000_s1026" alt="http://ads.wikifoundrytools.com/leaderboard1.png" href="http://ads.wikifoundrytools.com/ads.php?ad=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EC3F05B" w14:textId="77777777" w:rsidR="00AF2C4C" w:rsidRDefault="0038465E" w:rsidP="00086A1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en-AU"/>
        </w:rPr>
      </w:pPr>
      <w:r w:rsidRPr="0038465E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AU"/>
        </w:rPr>
        <w:t>NSW PUBLIC LIBRARIES LITERACY WORKING GROUP</w:t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="002F7CB8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AU"/>
        </w:rPr>
        <w:t>November 2019 - 2024</w:t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Pr="0038465E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AU"/>
        </w:rPr>
        <w:t>PREFACE/INTRODUCTION/BACKGROUND</w:t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  <w:t>This Strategic Plan for the Working Group</w:t>
      </w:r>
      <w:r w:rsidR="002F7CB8" w:rsidRPr="002F7CB8"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 </w:t>
      </w:r>
      <w:r w:rsidR="002F7CB8"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in Library Literacy Services (NSW) </w:t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 will ensure that a planned course is set for the next five years and </w:t>
      </w:r>
      <w:r w:rsidR="002F7CB8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aims to</w:t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 </w:t>
      </w:r>
      <w:r w:rsidR="002F7CB8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raise</w:t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 the </w:t>
      </w:r>
      <w:r w:rsidR="002F7CB8"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profile of the </w:t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Working Group in the Library profession.</w:t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  <w:t xml:space="preserve">The group has targeted adult literacy and numeracy as distinct from English as a Second Language (ESL). </w:t>
      </w:r>
      <w:r w:rsidRPr="00F71F05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Approximately 4</w:t>
      </w:r>
      <w:r w:rsidR="00F71F05" w:rsidRPr="00F71F05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4</w:t>
      </w:r>
      <w:r w:rsidRPr="00F71F05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% of Australia's adult population have been identified as struggling with functional literacy in the last national survey conducted in 20</w:t>
      </w:r>
      <w:r w:rsidR="00F71F05" w:rsidRPr="00F71F05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13</w:t>
      </w:r>
      <w:r w:rsidRPr="00F71F05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.</w:t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 The group has therefore targeted library services in relation to adult literacy as distinct from ESL (English as a Second Language), which is considered to fall under the umbrella of the NSW Public Libraries Multicultural Working Group.</w:t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Pr="0038465E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AU"/>
        </w:rPr>
        <w:t>PROFILE OF WORKING GROUP</w:t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  <w:t xml:space="preserve">The NSW Public Libraries Literacy Working Group was formed in 2007 by a number of interested people from public libraries. The role of the working group is </w:t>
      </w:r>
      <w:r w:rsidRPr="002D4E80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to</w:t>
      </w:r>
      <w:r w:rsidR="002D4E80" w:rsidRPr="002D4E80"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 support public library staff in the </w:t>
      </w:r>
      <w:proofErr w:type="gramStart"/>
      <w:r w:rsidR="002D4E80" w:rsidRPr="002D4E80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delivery of literacy services and resources</w:t>
      </w:r>
      <w:r w:rsidR="002D4E80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,</w:t>
      </w:r>
      <w:proofErr w:type="gramEnd"/>
      <w:r w:rsidR="002D4E80"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 </w:t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provide advice and promote the provision of library resources to adult clients with literacy needs and adult literacy teachers.</w:t>
      </w:r>
      <w:r w:rsidR="002F7CB8"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 The first Strategic Plan was for 2012 – 2017.</w:t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Pr="0038465E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AU"/>
        </w:rPr>
        <w:t>VISION</w:t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  <w:t>Every public library will have an excellent resource collection and services with trained staff that will assist and promote greater literacy for adults in the community with literacy needs.</w:t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Pr="0038465E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AU"/>
        </w:rPr>
        <w:t>MISSION</w:t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  <w:t>To lobby, advise, promote and improve the importance of library services for adult literacy.</w:t>
      </w:r>
    </w:p>
    <w:p w14:paraId="2DE8A5B5" w14:textId="77777777" w:rsidR="00AF2C4C" w:rsidRDefault="00AF2C4C" w:rsidP="00086A1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en-AU"/>
        </w:rPr>
      </w:pPr>
    </w:p>
    <w:p w14:paraId="5129D1A4" w14:textId="77777777" w:rsidR="00AF2C4C" w:rsidRDefault="00AF2C4C" w:rsidP="00086A1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en-AU"/>
        </w:rPr>
      </w:pPr>
      <w:r w:rsidRPr="0038465E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AU"/>
        </w:rPr>
        <w:t>KEY ISSUES FOR SUCCESS</w:t>
      </w:r>
    </w:p>
    <w:p w14:paraId="4C5C65F5" w14:textId="77777777" w:rsidR="00795A5E" w:rsidRPr="00795A5E" w:rsidRDefault="00795A5E" w:rsidP="00086A12">
      <w:pPr>
        <w:numPr>
          <w:ilvl w:val="0"/>
          <w:numId w:val="14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en-AU"/>
        </w:rPr>
      </w:pPr>
      <w:r w:rsidRPr="00795A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Support of the NSW Public Libraries Association NSWPLA </w:t>
      </w:r>
    </w:p>
    <w:p w14:paraId="0FC038A1" w14:textId="77777777" w:rsidR="00AF2C4C" w:rsidRPr="0038465E" w:rsidRDefault="00AF2C4C" w:rsidP="00086A12">
      <w:pPr>
        <w:numPr>
          <w:ilvl w:val="0"/>
          <w:numId w:val="14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en-AU"/>
        </w:rPr>
      </w:pP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Support of Library Managers/Council</w:t>
      </w:r>
    </w:p>
    <w:p w14:paraId="5C493D0C" w14:textId="77777777" w:rsidR="00AF2C4C" w:rsidRPr="0038465E" w:rsidRDefault="00AF2C4C" w:rsidP="00086A12">
      <w:pPr>
        <w:numPr>
          <w:ilvl w:val="0"/>
          <w:numId w:val="14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en-AU"/>
        </w:rPr>
      </w:pP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Availability of financial resources</w:t>
      </w:r>
    </w:p>
    <w:p w14:paraId="00B7D6EC" w14:textId="77777777" w:rsidR="00AF2C4C" w:rsidRPr="0038465E" w:rsidRDefault="00AF2C4C" w:rsidP="00086A12">
      <w:pPr>
        <w:numPr>
          <w:ilvl w:val="0"/>
          <w:numId w:val="14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en-AU"/>
        </w:rPr>
      </w:pP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Skills of librarians</w:t>
      </w:r>
    </w:p>
    <w:p w14:paraId="27BCBBE1" w14:textId="77777777" w:rsidR="00AF2C4C" w:rsidRPr="0038465E" w:rsidRDefault="00AF2C4C" w:rsidP="00086A12">
      <w:pPr>
        <w:numPr>
          <w:ilvl w:val="0"/>
          <w:numId w:val="14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en-AU"/>
        </w:rPr>
      </w:pP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Profile of Literacy Working Group</w:t>
      </w:r>
    </w:p>
    <w:p w14:paraId="0E807DA9" w14:textId="77777777" w:rsidR="00AF2C4C" w:rsidRPr="0038465E" w:rsidRDefault="00AF2C4C" w:rsidP="00086A12">
      <w:pPr>
        <w:numPr>
          <w:ilvl w:val="0"/>
          <w:numId w:val="14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en-AU"/>
        </w:rPr>
      </w:pP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Support of the State Library of NSW</w:t>
      </w:r>
    </w:p>
    <w:p w14:paraId="72616FFB" w14:textId="77777777" w:rsidR="0038465E" w:rsidRPr="0038465E" w:rsidRDefault="0038465E" w:rsidP="00086A1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en-AU"/>
        </w:rPr>
      </w:pP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Pr="0038465E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AU"/>
        </w:rPr>
        <w:t>OBJECTIVES</w:t>
      </w:r>
    </w:p>
    <w:p w14:paraId="1F11DF7E" w14:textId="77777777" w:rsidR="0038465E" w:rsidRPr="0038465E" w:rsidRDefault="0038465E" w:rsidP="00086A12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en-AU"/>
        </w:rPr>
      </w:pP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To provide advice to </w:t>
      </w:r>
      <w:r w:rsidR="009024A7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public</w:t>
      </w:r>
      <w:r w:rsidR="00D36CFA"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 libraries through the literacy working group Wiki</w:t>
      </w:r>
    </w:p>
    <w:p w14:paraId="0BB7A4D7" w14:textId="77777777" w:rsidR="00D36CFA" w:rsidRDefault="00D36CFA" w:rsidP="00086A12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en-AU"/>
        </w:rPr>
      </w:pP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To promote</w:t>
      </w:r>
      <w:r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 the Literacy Working Group resources to</w:t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 </w:t>
      </w:r>
      <w:r w:rsidR="009024A7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NSW Public Libraries</w:t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 </w:t>
      </w:r>
    </w:p>
    <w:p w14:paraId="1F3B8B33" w14:textId="77777777" w:rsidR="009024A7" w:rsidRPr="009024A7" w:rsidRDefault="009024A7" w:rsidP="00086A12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en-AU"/>
        </w:rPr>
      </w:pPr>
      <w:r w:rsidRPr="009024A7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To showcase literacy partnerships between libraries and other organisations</w:t>
      </w:r>
    </w:p>
    <w:p w14:paraId="4A57D4C1" w14:textId="77777777" w:rsidR="0038465E" w:rsidRPr="0038465E" w:rsidRDefault="0038465E" w:rsidP="00086A12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en-AU"/>
        </w:rPr>
      </w:pP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lastRenderedPageBreak/>
        <w:t>To develop literacy resources in line with national and state initiatives</w:t>
      </w:r>
    </w:p>
    <w:p w14:paraId="2689D6EB" w14:textId="77777777" w:rsidR="0038465E" w:rsidRPr="0038465E" w:rsidRDefault="0038465E" w:rsidP="00086A12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en-AU"/>
        </w:rPr>
      </w:pP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To provide a forum for information exchange</w:t>
      </w:r>
    </w:p>
    <w:p w14:paraId="1106B0F1" w14:textId="77777777" w:rsidR="0038465E" w:rsidRPr="0038465E" w:rsidRDefault="0038465E" w:rsidP="00086A12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en-AU"/>
        </w:rPr>
      </w:pP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To provide professional development opportunities</w:t>
      </w:r>
    </w:p>
    <w:p w14:paraId="48BED089" w14:textId="77777777" w:rsidR="00AF2C4C" w:rsidRDefault="0038465E" w:rsidP="00086A1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en-AU"/>
        </w:rPr>
      </w:pP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Pr="0038465E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AU"/>
        </w:rPr>
        <w:t>KEY RESULT AREAS</w:t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Pr="0038465E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AU"/>
        </w:rPr>
        <w:t>Objective 1</w:t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: </w:t>
      </w:r>
      <w:r w:rsidR="00D36CFA"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To provide advice to </w:t>
      </w:r>
      <w:r w:rsidR="009024A7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public</w:t>
      </w:r>
      <w:r w:rsidR="00D36CFA"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 libraries through the </w:t>
      </w:r>
      <w:r w:rsidR="00AF2C4C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L</w:t>
      </w:r>
      <w:r w:rsidR="00D36CFA"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iteracy </w:t>
      </w:r>
      <w:r w:rsidR="00AF2C4C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W</w:t>
      </w:r>
      <w:r w:rsidR="00D36CFA"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orking </w:t>
      </w:r>
      <w:r w:rsidR="00AF2C4C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G</w:t>
      </w:r>
      <w:r w:rsidR="00D36CFA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roup Wiki</w:t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Pr="0038465E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AU"/>
        </w:rPr>
        <w:t>Strategy 1</w:t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: To provide a Core Literacy Collection List</w:t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Pr="0038465E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AU"/>
        </w:rPr>
        <w:t>Action</w:t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  <w:t>- Compile list of items for a core literacy collection for public libraries across NSW including adult literacy software programs.</w:t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  <w:t xml:space="preserve">- Review core list </w:t>
      </w:r>
      <w:r w:rsidR="00AF2C4C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bi-</w:t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annually</w:t>
      </w:r>
    </w:p>
    <w:p w14:paraId="5B530071" w14:textId="77777777" w:rsidR="0077465F" w:rsidRDefault="00AF2C4C" w:rsidP="00086A1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en-A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- </w:t>
      </w:r>
      <w:r w:rsidR="00F36D88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Provide access to the collection development guidelines of a range of library services.</w:t>
      </w:r>
      <w:r w:rsidR="0038465E"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="0038465E"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="0038465E" w:rsidRPr="0038465E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AU"/>
        </w:rPr>
        <w:t>Objective 2</w:t>
      </w:r>
      <w:r w:rsidR="0038465E"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: To promote</w:t>
      </w:r>
      <w:r w:rsidR="00D36CFA"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 the Literacy Working Group resources to</w:t>
      </w:r>
      <w:r w:rsidR="0038465E"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 </w:t>
      </w:r>
      <w:r w:rsidR="009024A7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NSW public libraries</w:t>
      </w:r>
      <w:r w:rsidR="0038465E"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="0038465E" w:rsidRPr="0038465E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AU"/>
        </w:rPr>
        <w:t>Strategy 2</w:t>
      </w:r>
      <w:r w:rsidR="0038465E"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: To promote the literacy and numeracy services and resources in public libraries</w:t>
      </w:r>
      <w:r w:rsidR="0038465E"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="0038465E" w:rsidRPr="0038465E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AU"/>
        </w:rPr>
        <w:t>Action</w:t>
      </w:r>
      <w:r w:rsidR="0038465E"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  <w:t xml:space="preserve">- </w:t>
      </w:r>
      <w:r w:rsidR="0077465F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Email library managers, and prepare PLN articles and emails.</w:t>
      </w:r>
    </w:p>
    <w:p w14:paraId="1A44E5BD" w14:textId="77777777" w:rsidR="0077465F" w:rsidRDefault="0077465F" w:rsidP="00086A1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en-A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AU"/>
        </w:rPr>
        <w:t>- Maintain the Literacy Working Group Wiki</w:t>
      </w:r>
      <w:r w:rsidR="00805228"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 so that information is up to date and current</w:t>
      </w:r>
    </w:p>
    <w:p w14:paraId="602E52B5" w14:textId="77777777" w:rsidR="00D36CFA" w:rsidRPr="0038465E" w:rsidRDefault="0038465E" w:rsidP="00086A1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en-AU"/>
        </w:rPr>
      </w:pP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Pr="0038465E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AU"/>
        </w:rPr>
        <w:t>Objective 3</w:t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: </w:t>
      </w:r>
      <w:r w:rsidR="009024A7" w:rsidRPr="009024A7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To showcase literacy partnerships between libraries and other organisations</w:t>
      </w:r>
    </w:p>
    <w:p w14:paraId="6C27DBCB" w14:textId="77777777" w:rsidR="0077465F" w:rsidRDefault="0038465E" w:rsidP="00086A1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en-AU"/>
        </w:rPr>
      </w:pPr>
      <w:r w:rsidRPr="0038465E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AU"/>
        </w:rPr>
        <w:t>Strategy 3</w:t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: Work with the NSW Public Libraries Multicultural Working Group, NSW ALNC (NSW Adult Literacy and Numeracy Council)</w:t>
      </w:r>
      <w:r w:rsidR="0077465F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, Reading Writing Hotline</w:t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 and TAFE</w:t>
      </w:r>
      <w:r w:rsidR="0077465F"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 and Community College Training</w:t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 programs in developing ways to promote and deliver services; Develop partnerships with a view to providing joint programs, promoting public libraries, sharing information</w:t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Pr="0038465E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AU"/>
        </w:rPr>
        <w:t>Action</w:t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  <w:t>- Ask local Colleges of TAFE: What adult literacy resources can the library provide? Invite recommendations for inclusion in the collection which fit within the collection developm</w:t>
      </w:r>
      <w:r w:rsidR="0077465F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ent guid</w:t>
      </w:r>
      <w:r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elines</w:t>
      </w:r>
    </w:p>
    <w:p w14:paraId="5027E61E" w14:textId="77777777" w:rsidR="0077465F" w:rsidRDefault="0077465F" w:rsidP="00086A1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en-A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AU"/>
        </w:rPr>
        <w:t>- Promote liaison with local adult education providers including TAFE, community Colleges, AMES, Mission Australia to develop pathways between formal and non-formal literacy learning</w:t>
      </w:r>
    </w:p>
    <w:p w14:paraId="25B3F1FB" w14:textId="77777777" w:rsidR="00F36D88" w:rsidRPr="00F36D88" w:rsidRDefault="0038465E" w:rsidP="00086A1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en-AU"/>
        </w:rPr>
      </w:pPr>
      <w:r w:rsidRPr="00F36D88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- Attend meeting/s of the NSW Public Libraries Multicultural Working Group</w:t>
      </w:r>
    </w:p>
    <w:p w14:paraId="0356DEF0" w14:textId="77777777" w:rsidR="00805228" w:rsidRDefault="00F36D88" w:rsidP="00086A1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en-AU"/>
        </w:rPr>
      </w:pPr>
      <w:r w:rsidRPr="00F36D88"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- </w:t>
      </w:r>
      <w:r w:rsidRPr="00F36D88">
        <w:rPr>
          <w:rFonts w:ascii="Arial" w:hAnsi="Arial" w:cs="Arial"/>
          <w:color w:val="1F497D"/>
          <w:sz w:val="21"/>
          <w:szCs w:val="21"/>
        </w:rPr>
        <w:t>To collect examples of partnerships and link to the programs from the wiki</w:t>
      </w:r>
      <w:r w:rsidR="0038465E" w:rsidRPr="00F36D88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="0038465E" w:rsidRPr="00F36D88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="0038465E" w:rsidRPr="0077465F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AU"/>
        </w:rPr>
        <w:t>Objective 4</w:t>
      </w:r>
      <w:r w:rsidR="0038465E" w:rsidRPr="0077465F"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: </w:t>
      </w:r>
      <w:r w:rsidR="009024A7" w:rsidRPr="0038465E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To develop literacy resources in line with national and state initiatives</w:t>
      </w:r>
      <w:r w:rsidR="0038465E" w:rsidRPr="0077465F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="0038465E" w:rsidRPr="0077465F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AU"/>
        </w:rPr>
        <w:t>Strategy 4</w:t>
      </w:r>
      <w:r w:rsidR="0038465E" w:rsidRPr="0077465F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: Be aware of national, state and local projects and initiatives to promote and develop adult literacy – To be ongoing – Report to NSW Public Libraries Literacy Working Group meetings</w:t>
      </w:r>
      <w:r w:rsidR="0038465E" w:rsidRPr="0077465F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="0038465E" w:rsidRPr="0077465F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AU"/>
        </w:rPr>
        <w:t>Action</w:t>
      </w:r>
      <w:r w:rsidR="0038465E" w:rsidRPr="0077465F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  <w:t>- Monitor government websites and policies</w:t>
      </w:r>
      <w:r w:rsidR="0038465E" w:rsidRPr="0077465F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  <w:t>- Monitor literacy groups’ websites</w:t>
      </w:r>
      <w:r w:rsidR="0038465E" w:rsidRPr="0077465F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  <w:t>- Monitor publishers and book suppliers for current adult literacy resources</w:t>
      </w:r>
      <w:r w:rsidR="0038465E" w:rsidRPr="0077465F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  <w:t>- Monitor current adult basic education in NSW</w:t>
      </w:r>
    </w:p>
    <w:p w14:paraId="36B34BDE" w14:textId="77777777" w:rsidR="00805228" w:rsidRDefault="00805228" w:rsidP="00086A1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en-A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AU"/>
        </w:rPr>
        <w:t>- Liaise with National Reading Writing Hotline on current national issues</w:t>
      </w:r>
    </w:p>
    <w:p w14:paraId="177263B6" w14:textId="77777777" w:rsidR="005B768C" w:rsidRDefault="0038465E" w:rsidP="007C06DF">
      <w:pPr>
        <w:shd w:val="clear" w:color="auto" w:fill="FFFFFF"/>
        <w:spacing w:before="120" w:after="120" w:line="240" w:lineRule="auto"/>
      </w:pPr>
      <w:r w:rsidRPr="0077465F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- Identify other sources relevant to literacy field</w:t>
      </w:r>
      <w:r w:rsidRPr="0077465F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Pr="0077465F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Pr="0077465F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AU"/>
        </w:rPr>
        <w:t>Objective 5</w:t>
      </w:r>
      <w:r w:rsidRPr="0077465F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: To provide a forum for information exchange</w:t>
      </w:r>
      <w:r w:rsidRPr="0077465F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Pr="0077465F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AU"/>
        </w:rPr>
        <w:t>Strategy 5</w:t>
      </w:r>
      <w:r w:rsidR="00405289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: Share practices and ideas in 3</w:t>
      </w:r>
      <w:r w:rsidRPr="0077465F"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 meetings</w:t>
      </w:r>
      <w:r w:rsidR="00405289"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 per year</w:t>
      </w:r>
      <w:r w:rsidR="009B1228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, and through the wiki</w:t>
      </w:r>
      <w:r w:rsidRPr="0077465F"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 that promote a higher profile of adult literacy resources and services offered by NSW Public Libraries</w:t>
      </w:r>
      <w:r w:rsidRPr="0077465F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Pr="0077465F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AU"/>
        </w:rPr>
        <w:lastRenderedPageBreak/>
        <w:t>Action</w:t>
      </w:r>
      <w:r w:rsidRPr="0077465F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  <w:t xml:space="preserve">- Schedule </w:t>
      </w:r>
      <w:r w:rsidR="00F36D88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three</w:t>
      </w:r>
      <w:r w:rsidRPr="0077465F"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 meetings each year: </w:t>
      </w:r>
      <w:r w:rsidR="00405289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March</w:t>
      </w:r>
      <w:r w:rsidRPr="0077465F"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, August, </w:t>
      </w:r>
      <w:r w:rsidR="00405289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October</w:t>
      </w:r>
      <w:r w:rsidRPr="0077465F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Pr="0077465F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Pr="0077465F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AU"/>
        </w:rPr>
        <w:t>Objective 6</w:t>
      </w:r>
      <w:r w:rsidRPr="0077465F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: To provide professional development opportunities</w:t>
      </w:r>
      <w:r w:rsidRPr="0077465F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Pr="0077465F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AU"/>
        </w:rPr>
        <w:t>Strategy 6</w:t>
      </w:r>
      <w:r w:rsidRPr="0077465F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: Training for staff in recognising</w:t>
      </w:r>
      <w:r w:rsidR="00805228"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, </w:t>
      </w:r>
      <w:r w:rsidRPr="0077465F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identifying</w:t>
      </w:r>
      <w:r w:rsidR="00805228"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 and supporting</w:t>
      </w:r>
      <w:r w:rsidRPr="0077465F"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 the needs of clients with low literacy</w:t>
      </w:r>
      <w:r w:rsidRPr="0077465F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Pr="0077465F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AU"/>
        </w:rPr>
        <w:t>Action</w:t>
      </w:r>
      <w:r w:rsidRPr="0077465F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  <w:t xml:space="preserve">- </w:t>
      </w:r>
      <w:r w:rsidR="009B1228">
        <w:rPr>
          <w:rFonts w:ascii="Arial" w:eastAsia="Times New Roman" w:hAnsi="Arial" w:cs="Arial"/>
          <w:color w:val="333333"/>
          <w:sz w:val="21"/>
          <w:szCs w:val="21"/>
          <w:lang w:eastAsia="en-AU"/>
        </w:rPr>
        <w:t>Maintain the wiki to i</w:t>
      </w:r>
      <w:r w:rsidRPr="0077465F"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nclude </w:t>
      </w:r>
      <w:r w:rsidR="00805228">
        <w:rPr>
          <w:rFonts w:ascii="Arial" w:eastAsia="Times New Roman" w:hAnsi="Arial" w:cs="Arial"/>
          <w:color w:val="333333"/>
          <w:sz w:val="21"/>
          <w:szCs w:val="21"/>
          <w:lang w:eastAsia="en-AU"/>
        </w:rPr>
        <w:t xml:space="preserve">information on National Reading Writing Hotline e.g. </w:t>
      </w:r>
      <w:r w:rsidR="00805228" w:rsidRPr="00AD38CC">
        <w:rPr>
          <w:rFonts w:eastAsia="Times New Roman" w:cstheme="minorHAnsi"/>
          <w:lang w:val="en" w:eastAsia="en-AU"/>
        </w:rPr>
        <w:t>Active Reading online database, Reading books, Writing books, websites, telephone numbers, links on Council websites</w:t>
      </w:r>
      <w:r w:rsidRPr="0077465F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  <w:t>- Guest speakers at meetings</w:t>
      </w:r>
      <w:r w:rsidRPr="0077465F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  <w:r w:rsidRPr="0077465F">
        <w:rPr>
          <w:rFonts w:ascii="Arial" w:eastAsia="Times New Roman" w:hAnsi="Arial" w:cs="Arial"/>
          <w:color w:val="333333"/>
          <w:sz w:val="21"/>
          <w:szCs w:val="21"/>
          <w:lang w:eastAsia="en-AU"/>
        </w:rPr>
        <w:br/>
      </w:r>
    </w:p>
    <w:p w14:paraId="1A67EB5A" w14:textId="77777777" w:rsidR="002F7CB8" w:rsidRDefault="002F7CB8" w:rsidP="00086A12">
      <w:pPr>
        <w:spacing w:before="120" w:after="120" w:line="240" w:lineRule="auto"/>
      </w:pPr>
    </w:p>
    <w:sectPr w:rsidR="002F7C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685F8" w14:textId="77777777" w:rsidR="005B4D68" w:rsidRDefault="005B4D68" w:rsidP="004D3F90">
      <w:pPr>
        <w:spacing w:after="0" w:line="240" w:lineRule="auto"/>
      </w:pPr>
      <w:r>
        <w:separator/>
      </w:r>
    </w:p>
  </w:endnote>
  <w:endnote w:type="continuationSeparator" w:id="0">
    <w:p w14:paraId="2AE99F1C" w14:textId="77777777" w:rsidR="005B4D68" w:rsidRDefault="005B4D68" w:rsidP="004D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ABD22" w14:textId="77777777" w:rsidR="005B4D68" w:rsidRDefault="005B4D68" w:rsidP="004D3F90">
      <w:pPr>
        <w:spacing w:after="0" w:line="240" w:lineRule="auto"/>
      </w:pPr>
      <w:r>
        <w:separator/>
      </w:r>
    </w:p>
  </w:footnote>
  <w:footnote w:type="continuationSeparator" w:id="0">
    <w:p w14:paraId="1E2B6903" w14:textId="77777777" w:rsidR="005B4D68" w:rsidRDefault="005B4D68" w:rsidP="004D3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609D7"/>
    <w:multiLevelType w:val="multilevel"/>
    <w:tmpl w:val="4398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E70B8C"/>
    <w:multiLevelType w:val="multilevel"/>
    <w:tmpl w:val="5378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CB0894"/>
    <w:multiLevelType w:val="multilevel"/>
    <w:tmpl w:val="8C56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940CDC"/>
    <w:multiLevelType w:val="multilevel"/>
    <w:tmpl w:val="61F0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EA07C3"/>
    <w:multiLevelType w:val="multilevel"/>
    <w:tmpl w:val="E85C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677957"/>
    <w:multiLevelType w:val="multilevel"/>
    <w:tmpl w:val="80FCC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B60527"/>
    <w:multiLevelType w:val="multilevel"/>
    <w:tmpl w:val="D332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B70987"/>
    <w:multiLevelType w:val="multilevel"/>
    <w:tmpl w:val="6D28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DB2214"/>
    <w:multiLevelType w:val="multilevel"/>
    <w:tmpl w:val="1C1E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C62464"/>
    <w:multiLevelType w:val="multilevel"/>
    <w:tmpl w:val="9460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5C1958"/>
    <w:multiLevelType w:val="multilevel"/>
    <w:tmpl w:val="EE18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A42881"/>
    <w:multiLevelType w:val="multilevel"/>
    <w:tmpl w:val="1F22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B7700D"/>
    <w:multiLevelType w:val="multilevel"/>
    <w:tmpl w:val="F37A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0B70CE"/>
    <w:multiLevelType w:val="multilevel"/>
    <w:tmpl w:val="CB1A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842C69"/>
    <w:multiLevelType w:val="multilevel"/>
    <w:tmpl w:val="D69E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6D3C2D"/>
    <w:multiLevelType w:val="multilevel"/>
    <w:tmpl w:val="A16C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D32E04"/>
    <w:multiLevelType w:val="multilevel"/>
    <w:tmpl w:val="329E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4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15"/>
  </w:num>
  <w:num w:numId="9">
    <w:abstractNumId w:val="6"/>
  </w:num>
  <w:num w:numId="10">
    <w:abstractNumId w:val="1"/>
  </w:num>
  <w:num w:numId="11">
    <w:abstractNumId w:val="11"/>
  </w:num>
  <w:num w:numId="12">
    <w:abstractNumId w:val="13"/>
  </w:num>
  <w:num w:numId="13">
    <w:abstractNumId w:val="5"/>
  </w:num>
  <w:num w:numId="14">
    <w:abstractNumId w:val="3"/>
  </w:num>
  <w:num w:numId="15">
    <w:abstractNumId w:val="9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5E"/>
    <w:rsid w:val="00040FDD"/>
    <w:rsid w:val="00086A12"/>
    <w:rsid w:val="000F1A77"/>
    <w:rsid w:val="002D4E80"/>
    <w:rsid w:val="002F7CB8"/>
    <w:rsid w:val="0038465E"/>
    <w:rsid w:val="00405289"/>
    <w:rsid w:val="004210AD"/>
    <w:rsid w:val="004C7C30"/>
    <w:rsid w:val="004D3F90"/>
    <w:rsid w:val="005B4D68"/>
    <w:rsid w:val="005B768C"/>
    <w:rsid w:val="0077465F"/>
    <w:rsid w:val="00795A5E"/>
    <w:rsid w:val="007C06DF"/>
    <w:rsid w:val="00805228"/>
    <w:rsid w:val="0085107B"/>
    <w:rsid w:val="00893507"/>
    <w:rsid w:val="009024A7"/>
    <w:rsid w:val="009B1228"/>
    <w:rsid w:val="009D14CC"/>
    <w:rsid w:val="00AF2C4C"/>
    <w:rsid w:val="00D36CFA"/>
    <w:rsid w:val="00EC3670"/>
    <w:rsid w:val="00F36D88"/>
    <w:rsid w:val="00F7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C86E0"/>
  <w15:docId w15:val="{7CAE5F27-3A2A-4E64-ADCA-724177AC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6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2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9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8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0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28866">
                                  <w:marLeft w:val="0"/>
                                  <w:marRight w:val="-30"/>
                                  <w:marTop w:val="0"/>
                                  <w:marBottom w:val="0"/>
                                  <w:divBdr>
                                    <w:top w:val="single" w:sz="6" w:space="0" w:color="CDCDCD"/>
                                    <w:left w:val="single" w:sz="6" w:space="0" w:color="CDCDCD"/>
                                    <w:bottom w:val="single" w:sz="6" w:space="0" w:color="CDCDCD"/>
                                    <w:right w:val="single" w:sz="6" w:space="0" w:color="CDCDCD"/>
                                  </w:divBdr>
                                  <w:divsChild>
                                    <w:div w:id="140309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6003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1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74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s.wikifoundrytools.com/ads.php?ad=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4527</Characters>
  <Application>Microsoft Office Word</Application>
  <DocSecurity>0</DocSecurity>
  <Lines>113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KC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Just</dc:creator>
  <cp:lastModifiedBy>Kate O'Grady</cp:lastModifiedBy>
  <cp:revision>2</cp:revision>
  <dcterms:created xsi:type="dcterms:W3CDTF">2021-04-07T06:17:00Z</dcterms:created>
  <dcterms:modified xsi:type="dcterms:W3CDTF">2021-04-07T06:17:00Z</dcterms:modified>
</cp:coreProperties>
</file>