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785" w:rsidRDefault="003D2413" w:rsidP="003D2413">
      <w:pPr>
        <w:pStyle w:val="Title"/>
      </w:pPr>
      <w:r>
        <w:t>Home Library Service Review</w:t>
      </w:r>
    </w:p>
    <w:p w:rsidR="003D2413" w:rsidRDefault="003D2413">
      <w:r>
        <w:t>&lt;LIBRARY SERVICE&gt;</w:t>
      </w:r>
    </w:p>
    <w:p w:rsidR="003D2413" w:rsidRDefault="003D2413" w:rsidP="003D2413">
      <w:pPr>
        <w:spacing w:after="0" w:line="240" w:lineRule="auto"/>
      </w:pPr>
    </w:p>
    <w:tbl>
      <w:tblPr>
        <w:tblStyle w:val="TableGridLight"/>
        <w:tblW w:w="0" w:type="auto"/>
        <w:tblLook w:val="04A0" w:firstRow="1" w:lastRow="0" w:firstColumn="1" w:lastColumn="0" w:noHBand="0" w:noVBand="1"/>
      </w:tblPr>
      <w:tblGrid>
        <w:gridCol w:w="1980"/>
        <w:gridCol w:w="8476"/>
      </w:tblGrid>
      <w:tr w:rsidR="0057417C" w:rsidTr="001B7314">
        <w:tc>
          <w:tcPr>
            <w:tcW w:w="1980" w:type="dxa"/>
          </w:tcPr>
          <w:p w:rsidR="0057417C" w:rsidRDefault="0057417C" w:rsidP="003D2413">
            <w:r>
              <w:t>Date of the review:</w:t>
            </w:r>
          </w:p>
          <w:p w:rsidR="0057417C" w:rsidRDefault="0057417C" w:rsidP="003D2413"/>
        </w:tc>
        <w:tc>
          <w:tcPr>
            <w:tcW w:w="8476" w:type="dxa"/>
          </w:tcPr>
          <w:p w:rsidR="0057417C" w:rsidRDefault="0057417C" w:rsidP="001B7314">
            <w:pPr>
              <w:rPr>
                <w:color w:val="2E74B5" w:themeColor="accent5" w:themeShade="BF"/>
              </w:rPr>
            </w:pPr>
          </w:p>
        </w:tc>
      </w:tr>
      <w:tr w:rsidR="003D2413" w:rsidTr="001B7314">
        <w:tc>
          <w:tcPr>
            <w:tcW w:w="1980" w:type="dxa"/>
          </w:tcPr>
          <w:p w:rsidR="003D2413" w:rsidRDefault="001B7314" w:rsidP="003D2413">
            <w:r>
              <w:t>Definition:</w:t>
            </w:r>
          </w:p>
        </w:tc>
        <w:tc>
          <w:tcPr>
            <w:tcW w:w="8476" w:type="dxa"/>
          </w:tcPr>
          <w:p w:rsidR="001B7314" w:rsidRPr="003D2413" w:rsidRDefault="001B7314" w:rsidP="001B7314">
            <w:pPr>
              <w:rPr>
                <w:color w:val="2E74B5" w:themeColor="accent5" w:themeShade="BF"/>
              </w:rPr>
            </w:pPr>
            <w:r>
              <w:rPr>
                <w:color w:val="2E74B5" w:themeColor="accent5" w:themeShade="BF"/>
              </w:rPr>
              <w:t>W</w:t>
            </w:r>
            <w:r w:rsidRPr="003D2413">
              <w:rPr>
                <w:color w:val="2E74B5" w:themeColor="accent5" w:themeShade="BF"/>
              </w:rPr>
              <w:t>hat is this service, what does it do, what’s been included and excluded from the scope of this service and why</w:t>
            </w:r>
            <w:r>
              <w:rPr>
                <w:color w:val="2E74B5" w:themeColor="accent5" w:themeShade="BF"/>
              </w:rPr>
              <w:t>?</w:t>
            </w:r>
            <w:r w:rsidRPr="003D2413">
              <w:rPr>
                <w:color w:val="2E74B5" w:themeColor="accent5" w:themeShade="BF"/>
              </w:rPr>
              <w:t xml:space="preserve"> …. </w:t>
            </w:r>
            <w:r>
              <w:rPr>
                <w:color w:val="2E74B5" w:themeColor="accent5" w:themeShade="BF"/>
              </w:rPr>
              <w:t>e</w:t>
            </w:r>
            <w:r w:rsidRPr="003D2413">
              <w:rPr>
                <w:color w:val="2E74B5" w:themeColor="accent5" w:themeShade="BF"/>
              </w:rPr>
              <w:t>.g. Does it include bus to the library, “</w:t>
            </w:r>
            <w:r w:rsidRPr="003D2413">
              <w:rPr>
                <w:color w:val="2E74B5" w:themeColor="accent5" w:themeShade="BF"/>
              </w:rPr>
              <w:t>self-select</w:t>
            </w:r>
            <w:r>
              <w:rPr>
                <w:color w:val="2E74B5" w:themeColor="accent5" w:themeShade="BF"/>
              </w:rPr>
              <w:t>,</w:t>
            </w:r>
            <w:r w:rsidRPr="003D2413">
              <w:rPr>
                <w:color w:val="2E74B5" w:themeColor="accent5" w:themeShade="BF"/>
              </w:rPr>
              <w:t xml:space="preserve"> home delivery”, a limited delivery area</w:t>
            </w:r>
            <w:r>
              <w:rPr>
                <w:color w:val="2E74B5" w:themeColor="accent5" w:themeShade="BF"/>
              </w:rPr>
              <w:t>, bulk loans to aged care / retirement communities?</w:t>
            </w:r>
          </w:p>
          <w:p w:rsidR="003D2413" w:rsidRDefault="003D2413" w:rsidP="003D2413"/>
        </w:tc>
      </w:tr>
      <w:tr w:rsidR="003D2413" w:rsidTr="001B7314">
        <w:tc>
          <w:tcPr>
            <w:tcW w:w="1980" w:type="dxa"/>
          </w:tcPr>
          <w:p w:rsidR="003D2413" w:rsidRDefault="001B7314" w:rsidP="003D2413">
            <w:r>
              <w:t>Current arrangements:</w:t>
            </w:r>
          </w:p>
        </w:tc>
        <w:tc>
          <w:tcPr>
            <w:tcW w:w="8476" w:type="dxa"/>
          </w:tcPr>
          <w:p w:rsidR="003D2413" w:rsidRDefault="001B7314" w:rsidP="003D2413">
            <w:r>
              <w:rPr>
                <w:color w:val="2E74B5" w:themeColor="accent5" w:themeShade="BF"/>
              </w:rPr>
              <w:t xml:space="preserve">List all </w:t>
            </w:r>
            <w:r w:rsidRPr="003D2413">
              <w:rPr>
                <w:color w:val="2E74B5" w:themeColor="accent5" w:themeShade="BF"/>
              </w:rPr>
              <w:t>arrangements that relate to the funding, delivery or governance of the activity</w:t>
            </w:r>
            <w:r>
              <w:rPr>
                <w:color w:val="2E74B5" w:themeColor="accent5" w:themeShade="BF"/>
              </w:rPr>
              <w:t xml:space="preserve"> e.g. </w:t>
            </w:r>
            <w:r w:rsidRPr="003D2413">
              <w:rPr>
                <w:color w:val="2E74B5" w:themeColor="accent5" w:themeShade="BF"/>
              </w:rPr>
              <w:t xml:space="preserve">any partnerships for deliveries, sponsorship or other sources of funding, any courier </w:t>
            </w:r>
            <w:r>
              <w:rPr>
                <w:color w:val="2E74B5" w:themeColor="accent5" w:themeShade="BF"/>
              </w:rPr>
              <w:t>contracts, etc.</w:t>
            </w:r>
          </w:p>
        </w:tc>
      </w:tr>
      <w:tr w:rsidR="003D2413" w:rsidTr="001B7314">
        <w:tc>
          <w:tcPr>
            <w:tcW w:w="1980" w:type="dxa"/>
          </w:tcPr>
          <w:p w:rsidR="001B7314" w:rsidRDefault="001B7314" w:rsidP="001B7314">
            <w:r>
              <w:t>Legislative requirements:</w:t>
            </w:r>
          </w:p>
          <w:p w:rsidR="003D2413" w:rsidRDefault="003D2413" w:rsidP="003D2413"/>
        </w:tc>
        <w:tc>
          <w:tcPr>
            <w:tcW w:w="8476" w:type="dxa"/>
          </w:tcPr>
          <w:p w:rsidR="001B7314" w:rsidRDefault="001B7314" w:rsidP="001B7314">
            <w:r>
              <w:t>Library Act 1939: Section 10</w:t>
            </w:r>
          </w:p>
          <w:p w:rsidR="001B7314" w:rsidRDefault="001B7314" w:rsidP="001B7314">
            <w:r>
              <w:t>(a) "Any person who is a resident of the area of the local authority or a ratepayer of the local authority is entitled to membership of the Library free of charge."</w:t>
            </w:r>
          </w:p>
          <w:p w:rsidR="001B7314" w:rsidRDefault="001B7314" w:rsidP="001B7314">
            <w:r>
              <w:t>(c) "Any person who is a member of the library is entitled to borrow free of charge from the library for use away from the library premises any library material of the library which has been classified by the librarian of the library as being of literary, informative, or educational value or as being fiction."</w:t>
            </w:r>
          </w:p>
          <w:p w:rsidR="003D2413" w:rsidRDefault="001B7314" w:rsidP="001B7314">
            <w:r>
              <w:t>(d) "No charge is to be made for the delivery to a member of the library of any book or information that the member is entitled to borrow free of charge if the member for reasons of ill-health or disability cannot reasonably be expected to attend the library in person."</w:t>
            </w:r>
          </w:p>
          <w:p w:rsidR="007B2CDB" w:rsidRDefault="007B2CDB" w:rsidP="001B7314"/>
        </w:tc>
      </w:tr>
      <w:tr w:rsidR="001B7314" w:rsidTr="001B7314">
        <w:tc>
          <w:tcPr>
            <w:tcW w:w="1980" w:type="dxa"/>
          </w:tcPr>
          <w:p w:rsidR="001B7314" w:rsidRDefault="001B7314" w:rsidP="001B7314">
            <w:r>
              <w:t>Rationale for service delivery:</w:t>
            </w:r>
          </w:p>
        </w:tc>
        <w:tc>
          <w:tcPr>
            <w:tcW w:w="8476" w:type="dxa"/>
          </w:tcPr>
          <w:p w:rsidR="001B7314" w:rsidRDefault="001B7314" w:rsidP="001B7314">
            <w:pPr>
              <w:rPr>
                <w:color w:val="2E74B5" w:themeColor="accent5" w:themeShade="BF"/>
              </w:rPr>
            </w:pPr>
            <w:r w:rsidRPr="001B7314">
              <w:rPr>
                <w:color w:val="2E74B5" w:themeColor="accent5" w:themeShade="BF"/>
              </w:rPr>
              <w:t>Why does council provide this service? L</w:t>
            </w:r>
            <w:r w:rsidRPr="001B7314">
              <w:rPr>
                <w:color w:val="2E74B5" w:themeColor="accent5" w:themeShade="BF"/>
              </w:rPr>
              <w:t>ook for linkages between the service and your council’s various strategies, policies and plans</w:t>
            </w:r>
            <w:r w:rsidRPr="001B7314">
              <w:rPr>
                <w:color w:val="2E74B5" w:themeColor="accent5" w:themeShade="BF"/>
              </w:rPr>
              <w:t>, etc.</w:t>
            </w:r>
          </w:p>
          <w:p w:rsidR="009E23A2" w:rsidRDefault="009E23A2" w:rsidP="001B7314">
            <w:pPr>
              <w:rPr>
                <w:color w:val="2E74B5" w:themeColor="accent5" w:themeShade="BF"/>
              </w:rPr>
            </w:pPr>
          </w:p>
          <w:p w:rsidR="00E93005" w:rsidRDefault="00235BE9" w:rsidP="001B7314">
            <w:pPr>
              <w:rPr>
                <w:color w:val="2E74B5" w:themeColor="accent5" w:themeShade="BF"/>
              </w:rPr>
            </w:pPr>
            <w:r>
              <w:rPr>
                <w:color w:val="2E74B5" w:themeColor="accent5" w:themeShade="BF"/>
              </w:rPr>
              <w:t>Also c</w:t>
            </w:r>
            <w:bookmarkStart w:id="0" w:name="_GoBack"/>
            <w:bookmarkEnd w:id="0"/>
            <w:r w:rsidR="009E23A2">
              <w:rPr>
                <w:color w:val="2E74B5" w:themeColor="accent5" w:themeShade="BF"/>
              </w:rPr>
              <w:t xml:space="preserve">onsider </w:t>
            </w:r>
          </w:p>
          <w:p w:rsidR="009E23A2" w:rsidRDefault="009E23A2" w:rsidP="00E93005">
            <w:pPr>
              <w:pStyle w:val="ListParagraph"/>
              <w:numPr>
                <w:ilvl w:val="0"/>
                <w:numId w:val="5"/>
              </w:numPr>
              <w:rPr>
                <w:color w:val="2E74B5" w:themeColor="accent5" w:themeShade="BF"/>
              </w:rPr>
            </w:pPr>
            <w:r w:rsidRPr="00E93005">
              <w:rPr>
                <w:color w:val="2E74B5" w:themeColor="accent5" w:themeShade="BF"/>
              </w:rPr>
              <w:t>social inclusion – housebound people in the community have many risk factors for exclusion, including living long-term on low-income, isolation, dis</w:t>
            </w:r>
            <w:r w:rsidR="00E93005">
              <w:rPr>
                <w:color w:val="2E74B5" w:themeColor="accent5" w:themeShade="BF"/>
              </w:rPr>
              <w:t>ability and poor health</w:t>
            </w:r>
          </w:p>
          <w:p w:rsidR="00E93005" w:rsidRPr="00E93005" w:rsidRDefault="00E93005" w:rsidP="00E93005">
            <w:pPr>
              <w:pStyle w:val="ListParagraph"/>
              <w:numPr>
                <w:ilvl w:val="0"/>
                <w:numId w:val="5"/>
              </w:numPr>
              <w:rPr>
                <w:color w:val="2E74B5" w:themeColor="accent5" w:themeShade="BF"/>
              </w:rPr>
            </w:pPr>
            <w:r>
              <w:rPr>
                <w:color w:val="2E74B5" w:themeColor="accent5" w:themeShade="BF"/>
              </w:rPr>
              <w:t>ageing in place strategies (Commonwealth Govt), NDIS services etc.</w:t>
            </w:r>
          </w:p>
          <w:p w:rsidR="001B7314" w:rsidRPr="001B7314" w:rsidRDefault="001B7314" w:rsidP="001B7314">
            <w:pPr>
              <w:rPr>
                <w:color w:val="2E74B5" w:themeColor="accent5" w:themeShade="BF"/>
              </w:rPr>
            </w:pPr>
            <w:r w:rsidRPr="001B7314">
              <w:rPr>
                <w:color w:val="2E74B5" w:themeColor="accent5" w:themeShade="BF"/>
              </w:rPr>
              <w:t> </w:t>
            </w:r>
          </w:p>
        </w:tc>
      </w:tr>
      <w:tr w:rsidR="001B7314" w:rsidTr="001B7314">
        <w:tc>
          <w:tcPr>
            <w:tcW w:w="1980" w:type="dxa"/>
          </w:tcPr>
          <w:p w:rsidR="001B7314" w:rsidRDefault="001B7314" w:rsidP="001B7314">
            <w:r>
              <w:t>H</w:t>
            </w:r>
            <w:r>
              <w:t xml:space="preserve">ow does council currently define effective performance for </w:t>
            </w:r>
            <w:r>
              <w:t>home library services?</w:t>
            </w:r>
          </w:p>
          <w:p w:rsidR="007B2CDB" w:rsidRDefault="007B2CDB" w:rsidP="001B7314"/>
        </w:tc>
        <w:tc>
          <w:tcPr>
            <w:tcW w:w="8476" w:type="dxa"/>
          </w:tcPr>
          <w:p w:rsidR="001B7314" w:rsidRDefault="001B7314" w:rsidP="001B7314">
            <w:pPr>
              <w:rPr>
                <w:color w:val="2E74B5" w:themeColor="accent5" w:themeShade="BF"/>
              </w:rPr>
            </w:pPr>
            <w:r w:rsidRPr="001B7314">
              <w:rPr>
                <w:color w:val="2E74B5" w:themeColor="accent5" w:themeShade="BF"/>
              </w:rPr>
              <w:t>W</w:t>
            </w:r>
            <w:r w:rsidRPr="001B7314">
              <w:rPr>
                <w:color w:val="2E74B5" w:themeColor="accent5" w:themeShade="BF"/>
              </w:rPr>
              <w:t>hat are the levels of service and performance measures</w:t>
            </w:r>
            <w:r w:rsidR="007B2CDB">
              <w:rPr>
                <w:color w:val="2E74B5" w:themeColor="accent5" w:themeShade="BF"/>
              </w:rPr>
              <w:t xml:space="preserve"> (KPIs)</w:t>
            </w:r>
            <w:r w:rsidRPr="001B7314">
              <w:rPr>
                <w:color w:val="2E74B5" w:themeColor="accent5" w:themeShade="BF"/>
              </w:rPr>
              <w:t>?</w:t>
            </w:r>
          </w:p>
          <w:p w:rsidR="007B2CDB" w:rsidRDefault="007B2CDB" w:rsidP="001B7314">
            <w:pPr>
              <w:rPr>
                <w:color w:val="2E74B5" w:themeColor="accent5" w:themeShade="BF"/>
              </w:rPr>
            </w:pPr>
          </w:p>
          <w:p w:rsidR="007B2CDB" w:rsidRDefault="007B2CDB" w:rsidP="007B2CDB">
            <w:r>
              <w:t>Living Learning Libraries G</w:t>
            </w:r>
            <w:r>
              <w:t xml:space="preserve">uideline </w:t>
            </w:r>
            <w:r>
              <w:t xml:space="preserve">19. Home library services </w:t>
            </w:r>
            <w:hyperlink r:id="rId7" w:history="1">
              <w:r>
                <w:rPr>
                  <w:rStyle w:val="Hyperlink"/>
                </w:rPr>
                <w:t>https://www.sl.nsw.gov.au/public-library-services/content/living-learning-libraries</w:t>
              </w:r>
            </w:hyperlink>
            <w:r>
              <w:t xml:space="preserve"> </w:t>
            </w:r>
          </w:p>
          <w:p w:rsidR="007B2CDB" w:rsidRPr="001B7314" w:rsidRDefault="007B2CDB" w:rsidP="001B7314">
            <w:pPr>
              <w:rPr>
                <w:color w:val="2E74B5" w:themeColor="accent5" w:themeShade="BF"/>
              </w:rPr>
            </w:pPr>
          </w:p>
        </w:tc>
      </w:tr>
      <w:tr w:rsidR="001B7314" w:rsidTr="001B7314">
        <w:tc>
          <w:tcPr>
            <w:tcW w:w="1980" w:type="dxa"/>
          </w:tcPr>
          <w:p w:rsidR="001B7314" w:rsidRDefault="001B7314" w:rsidP="001B7314">
            <w:r>
              <w:t xml:space="preserve">What </w:t>
            </w:r>
            <w:r>
              <w:t>cost and resource</w:t>
            </w:r>
            <w:r>
              <w:t>s are</w:t>
            </w:r>
            <w:r>
              <w:t xml:space="preserve"> involved in delivering the service</w:t>
            </w:r>
            <w:r>
              <w:t>?</w:t>
            </w:r>
          </w:p>
          <w:p w:rsidR="007B2CDB" w:rsidRDefault="007B2CDB" w:rsidP="001B7314"/>
        </w:tc>
        <w:tc>
          <w:tcPr>
            <w:tcW w:w="8476" w:type="dxa"/>
          </w:tcPr>
          <w:p w:rsidR="001B7314" w:rsidRDefault="001B7314" w:rsidP="001B7314">
            <w:r w:rsidRPr="001B7314">
              <w:rPr>
                <w:color w:val="2E74B5" w:themeColor="accent5" w:themeShade="BF"/>
              </w:rPr>
              <w:t>Consider staff time, volunteer coordination and volunteer hours, costs of equipment and vehicles etc.</w:t>
            </w:r>
            <w:r>
              <w:rPr>
                <w:color w:val="2E74B5" w:themeColor="accent5" w:themeShade="BF"/>
              </w:rPr>
              <w:t xml:space="preserve"> Are there any trends in expenditure or cost drivers? Are things likely to change in the next five years?</w:t>
            </w:r>
          </w:p>
        </w:tc>
      </w:tr>
      <w:tr w:rsidR="001B7314" w:rsidTr="001B7314">
        <w:tc>
          <w:tcPr>
            <w:tcW w:w="1980" w:type="dxa"/>
          </w:tcPr>
          <w:p w:rsidR="001B7314" w:rsidRDefault="001B7314" w:rsidP="001B7314">
            <w:r>
              <w:t>R</w:t>
            </w:r>
            <w:r>
              <w:t>isks and risk management arrangements</w:t>
            </w:r>
          </w:p>
        </w:tc>
        <w:tc>
          <w:tcPr>
            <w:tcW w:w="8476" w:type="dxa"/>
          </w:tcPr>
          <w:p w:rsidR="001B7314" w:rsidRDefault="001B7314" w:rsidP="001B7314">
            <w:pPr>
              <w:rPr>
                <w:color w:val="2E74B5" w:themeColor="accent5" w:themeShade="BF"/>
              </w:rPr>
            </w:pPr>
            <w:r>
              <w:rPr>
                <w:color w:val="2E74B5" w:themeColor="accent5" w:themeShade="BF"/>
              </w:rPr>
              <w:t>See the Home Library Service Working Group documents for ideas:</w:t>
            </w:r>
          </w:p>
          <w:p w:rsidR="001B7314" w:rsidRPr="001B7314" w:rsidRDefault="001B7314" w:rsidP="001B7314">
            <w:pPr>
              <w:pStyle w:val="ListParagraph"/>
              <w:numPr>
                <w:ilvl w:val="0"/>
                <w:numId w:val="4"/>
              </w:numPr>
              <w:rPr>
                <w:color w:val="2E74B5" w:themeColor="accent5" w:themeShade="BF"/>
              </w:rPr>
            </w:pPr>
            <w:r w:rsidRPr="001B7314">
              <w:rPr>
                <w:color w:val="2E74B5" w:themeColor="accent5" w:themeShade="BF"/>
              </w:rPr>
              <w:t xml:space="preserve">Policy Guidelines for NSW Home Library Services </w:t>
            </w:r>
          </w:p>
          <w:p w:rsidR="001B7314" w:rsidRDefault="001B7314" w:rsidP="001B7314">
            <w:pPr>
              <w:pStyle w:val="ListParagraph"/>
              <w:numPr>
                <w:ilvl w:val="0"/>
                <w:numId w:val="4"/>
              </w:numPr>
              <w:rPr>
                <w:color w:val="2E74B5" w:themeColor="accent5" w:themeShade="BF"/>
              </w:rPr>
            </w:pPr>
            <w:r w:rsidRPr="001B7314">
              <w:rPr>
                <w:color w:val="2E74B5" w:themeColor="accent5" w:themeShade="BF"/>
              </w:rPr>
              <w:t>Risk Management Guidelines for NSW Home Library Services</w:t>
            </w:r>
          </w:p>
          <w:p w:rsidR="001B7314" w:rsidRPr="001B7314" w:rsidRDefault="001B7314" w:rsidP="001B7314">
            <w:pPr>
              <w:pStyle w:val="ListParagraph"/>
              <w:ind w:left="360"/>
              <w:rPr>
                <w:color w:val="2E74B5" w:themeColor="accent5" w:themeShade="BF"/>
              </w:rPr>
            </w:pPr>
          </w:p>
        </w:tc>
      </w:tr>
      <w:tr w:rsidR="001B7314" w:rsidTr="001B7314">
        <w:tc>
          <w:tcPr>
            <w:tcW w:w="1980" w:type="dxa"/>
          </w:tcPr>
          <w:p w:rsidR="001B7314" w:rsidRDefault="001B7314" w:rsidP="001B7314">
            <w:r>
              <w:t>U</w:t>
            </w:r>
            <w:r>
              <w:t>ser/customer information</w:t>
            </w:r>
          </w:p>
        </w:tc>
        <w:tc>
          <w:tcPr>
            <w:tcW w:w="8476" w:type="dxa"/>
          </w:tcPr>
          <w:p w:rsidR="005E76D5" w:rsidRDefault="005E76D5" w:rsidP="001B7314">
            <w:pPr>
              <w:rPr>
                <w:color w:val="2E74B5" w:themeColor="accent5" w:themeShade="BF"/>
              </w:rPr>
            </w:pPr>
            <w:r>
              <w:rPr>
                <w:color w:val="2E74B5" w:themeColor="accent5" w:themeShade="BF"/>
              </w:rPr>
              <w:t>How many clients are on the service?</w:t>
            </w:r>
          </w:p>
          <w:p w:rsidR="005E76D5" w:rsidRDefault="005E76D5" w:rsidP="001B7314">
            <w:pPr>
              <w:rPr>
                <w:color w:val="2E74B5" w:themeColor="accent5" w:themeShade="BF"/>
              </w:rPr>
            </w:pPr>
          </w:p>
          <w:p w:rsidR="001B7314" w:rsidRDefault="007B2CDB" w:rsidP="001B7314">
            <w:pPr>
              <w:rPr>
                <w:color w:val="2E74B5" w:themeColor="accent5" w:themeShade="BF"/>
              </w:rPr>
            </w:pPr>
            <w:r w:rsidRPr="007B2CDB">
              <w:rPr>
                <w:color w:val="2E74B5" w:themeColor="accent5" w:themeShade="BF"/>
              </w:rPr>
              <w:t>R</w:t>
            </w:r>
            <w:r w:rsidRPr="007B2CDB">
              <w:rPr>
                <w:color w:val="2E74B5" w:themeColor="accent5" w:themeShade="BF"/>
              </w:rPr>
              <w:t>esults of customer satisfaction surveys (where these exist); the common areas of customer complaints, requests for service, and other feedback to the provider of the service</w:t>
            </w:r>
            <w:r w:rsidR="005E76D5">
              <w:rPr>
                <w:color w:val="2E74B5" w:themeColor="accent5" w:themeShade="BF"/>
              </w:rPr>
              <w:t>.</w:t>
            </w:r>
          </w:p>
          <w:p w:rsidR="005E76D5" w:rsidRDefault="005E76D5" w:rsidP="001B7314">
            <w:pPr>
              <w:rPr>
                <w:color w:val="2E74B5" w:themeColor="accent5" w:themeShade="BF"/>
              </w:rPr>
            </w:pPr>
          </w:p>
          <w:p w:rsidR="005E76D5" w:rsidRDefault="005E76D5" w:rsidP="001B7314">
            <w:pPr>
              <w:rPr>
                <w:color w:val="2E74B5" w:themeColor="accent5" w:themeShade="BF"/>
              </w:rPr>
            </w:pPr>
            <w:r w:rsidRPr="005E76D5">
              <w:lastRenderedPageBreak/>
              <w:t xml:space="preserve">NSW Home Library Services in New South Wales </w:t>
            </w:r>
            <w:proofErr w:type="spellStart"/>
            <w:r w:rsidRPr="005E76D5">
              <w:t>Statewide</w:t>
            </w:r>
            <w:proofErr w:type="spellEnd"/>
            <w:r w:rsidRPr="005E76D5">
              <w:t xml:space="preserve"> Survey results </w:t>
            </w:r>
            <w:r>
              <w:t>indicate</w:t>
            </w:r>
            <w:r w:rsidRPr="005E76D5">
              <w:t xml:space="preserve"> the range of information that can be considered </w:t>
            </w:r>
            <w:hyperlink r:id="rId8" w:history="1">
              <w:r>
                <w:rPr>
                  <w:rStyle w:val="Hyperlink"/>
                </w:rPr>
                <w:t>https://www.sl.nsw.gov.au/public-library-services/home-library-services</w:t>
              </w:r>
            </w:hyperlink>
            <w:r>
              <w:t xml:space="preserve"> </w:t>
            </w:r>
          </w:p>
          <w:p w:rsidR="007B2CDB" w:rsidRDefault="007B2CDB" w:rsidP="001B7314">
            <w:pPr>
              <w:rPr>
                <w:color w:val="2E74B5" w:themeColor="accent5" w:themeShade="BF"/>
              </w:rPr>
            </w:pPr>
          </w:p>
        </w:tc>
      </w:tr>
      <w:tr w:rsidR="007B2CDB" w:rsidTr="001B7314">
        <w:tc>
          <w:tcPr>
            <w:tcW w:w="1980" w:type="dxa"/>
          </w:tcPr>
          <w:p w:rsidR="007B2CDB" w:rsidRDefault="007B2CDB" w:rsidP="001B7314">
            <w:proofErr w:type="gramStart"/>
            <w:r>
              <w:lastRenderedPageBreak/>
              <w:t>O</w:t>
            </w:r>
            <w:r>
              <w:t>ther</w:t>
            </w:r>
            <w:proofErr w:type="gramEnd"/>
            <w:r>
              <w:t xml:space="preserve"> stakeholder information</w:t>
            </w:r>
          </w:p>
          <w:p w:rsidR="007B2CDB" w:rsidRDefault="007B2CDB" w:rsidP="001B7314"/>
        </w:tc>
        <w:tc>
          <w:tcPr>
            <w:tcW w:w="8476" w:type="dxa"/>
          </w:tcPr>
          <w:p w:rsidR="007B2CDB" w:rsidRDefault="007B2CDB" w:rsidP="001B7314">
            <w:pPr>
              <w:rPr>
                <w:color w:val="2E74B5" w:themeColor="accent5" w:themeShade="BF"/>
              </w:rPr>
            </w:pPr>
            <w:r w:rsidRPr="007B2CDB">
              <w:rPr>
                <w:color w:val="2E74B5" w:themeColor="accent5" w:themeShade="BF"/>
              </w:rPr>
              <w:t>V</w:t>
            </w:r>
            <w:r w:rsidRPr="007B2CDB">
              <w:rPr>
                <w:color w:val="2E74B5" w:themeColor="accent5" w:themeShade="BF"/>
              </w:rPr>
              <w:t xml:space="preserve">iews and preferences of </w:t>
            </w:r>
            <w:r>
              <w:rPr>
                <w:color w:val="2E74B5" w:themeColor="accent5" w:themeShade="BF"/>
              </w:rPr>
              <w:t>councillors, management</w:t>
            </w:r>
            <w:r w:rsidRPr="007B2CDB">
              <w:rPr>
                <w:color w:val="2E74B5" w:themeColor="accent5" w:themeShade="BF"/>
              </w:rPr>
              <w:t xml:space="preserve"> and staff involved in delivery of the service</w:t>
            </w:r>
            <w:r w:rsidR="005E76D5">
              <w:rPr>
                <w:color w:val="2E74B5" w:themeColor="accent5" w:themeShade="BF"/>
              </w:rPr>
              <w:t>.</w:t>
            </w:r>
          </w:p>
          <w:p w:rsidR="005E76D5" w:rsidRDefault="005E76D5" w:rsidP="001B7314">
            <w:pPr>
              <w:rPr>
                <w:color w:val="2E74B5" w:themeColor="accent5" w:themeShade="BF"/>
              </w:rPr>
            </w:pPr>
          </w:p>
          <w:p w:rsidR="005E76D5" w:rsidRDefault="005E76D5" w:rsidP="001B7314">
            <w:pPr>
              <w:rPr>
                <w:color w:val="2E74B5" w:themeColor="accent5" w:themeShade="BF"/>
              </w:rPr>
            </w:pPr>
            <w:r>
              <w:rPr>
                <w:color w:val="2E74B5" w:themeColor="accent5" w:themeShade="BF"/>
              </w:rPr>
              <w:t>Any service delivery partners (e.g. Meals on Wheels coordinator)</w:t>
            </w:r>
          </w:p>
          <w:p w:rsidR="005E76D5" w:rsidRPr="007B2CDB" w:rsidRDefault="005E76D5" w:rsidP="001B7314">
            <w:pPr>
              <w:rPr>
                <w:color w:val="2E74B5" w:themeColor="accent5" w:themeShade="BF"/>
              </w:rPr>
            </w:pPr>
          </w:p>
        </w:tc>
      </w:tr>
      <w:tr w:rsidR="007B2CDB" w:rsidTr="001B7314">
        <w:tc>
          <w:tcPr>
            <w:tcW w:w="1980" w:type="dxa"/>
          </w:tcPr>
          <w:p w:rsidR="007B2CDB" w:rsidRDefault="007B2CDB" w:rsidP="001B7314">
            <w:r>
              <w:t>Results of the last review</w:t>
            </w:r>
          </w:p>
          <w:p w:rsidR="007B2CDB" w:rsidRDefault="007B2CDB" w:rsidP="001B7314"/>
          <w:p w:rsidR="007B2CDB" w:rsidRDefault="007B2CDB" w:rsidP="001B7314"/>
        </w:tc>
        <w:tc>
          <w:tcPr>
            <w:tcW w:w="8476" w:type="dxa"/>
          </w:tcPr>
          <w:p w:rsidR="007B2CDB" w:rsidRPr="007B2CDB" w:rsidRDefault="007B2CDB" w:rsidP="001B7314">
            <w:pPr>
              <w:rPr>
                <w:color w:val="2E74B5" w:themeColor="accent5" w:themeShade="BF"/>
              </w:rPr>
            </w:pPr>
            <w:r>
              <w:rPr>
                <w:color w:val="2E74B5" w:themeColor="accent5" w:themeShade="BF"/>
              </w:rPr>
              <w:t>When was the last review conducted? What were the findings and recommendations?</w:t>
            </w:r>
          </w:p>
        </w:tc>
      </w:tr>
      <w:tr w:rsidR="007B2CDB" w:rsidTr="001B7314">
        <w:tc>
          <w:tcPr>
            <w:tcW w:w="1980" w:type="dxa"/>
          </w:tcPr>
          <w:p w:rsidR="007B2CDB" w:rsidRDefault="007B2CDB" w:rsidP="007B2CDB">
            <w:r>
              <w:t xml:space="preserve">Review objectives and scope </w:t>
            </w:r>
          </w:p>
          <w:p w:rsidR="007B2CDB" w:rsidRDefault="007B2CDB" w:rsidP="001B7314"/>
        </w:tc>
        <w:tc>
          <w:tcPr>
            <w:tcW w:w="8476" w:type="dxa"/>
          </w:tcPr>
          <w:p w:rsidR="007B2CDB" w:rsidRPr="007B2CDB" w:rsidRDefault="007B2CDB" w:rsidP="007B2CDB">
            <w:pPr>
              <w:rPr>
                <w:color w:val="2E74B5" w:themeColor="accent5" w:themeShade="BF"/>
              </w:rPr>
            </w:pPr>
            <w:r w:rsidRPr="007B2CDB">
              <w:rPr>
                <w:color w:val="2E74B5" w:themeColor="accent5" w:themeShade="BF"/>
              </w:rPr>
              <w:t>What are the objectives for the review and how far the review will extend.</w:t>
            </w:r>
          </w:p>
          <w:p w:rsidR="007B2CDB" w:rsidRDefault="007B2CDB" w:rsidP="001B7314">
            <w:pPr>
              <w:rPr>
                <w:color w:val="2E74B5" w:themeColor="accent5" w:themeShade="BF"/>
              </w:rPr>
            </w:pPr>
          </w:p>
        </w:tc>
      </w:tr>
      <w:tr w:rsidR="007B2CDB" w:rsidTr="001B7314">
        <w:tc>
          <w:tcPr>
            <w:tcW w:w="1980" w:type="dxa"/>
          </w:tcPr>
          <w:p w:rsidR="007B2CDB" w:rsidRDefault="007B2CDB" w:rsidP="007B2CDB">
            <w:r>
              <w:t>R</w:t>
            </w:r>
            <w:r>
              <w:t>eview resource(s) – who is working on the review</w:t>
            </w:r>
          </w:p>
          <w:p w:rsidR="007B2CDB" w:rsidRDefault="007B2CDB" w:rsidP="007B2CDB"/>
        </w:tc>
        <w:tc>
          <w:tcPr>
            <w:tcW w:w="8476" w:type="dxa"/>
          </w:tcPr>
          <w:p w:rsidR="007B2CDB" w:rsidRPr="007B2CDB" w:rsidRDefault="007B2CDB" w:rsidP="007B2CDB">
            <w:pPr>
              <w:rPr>
                <w:color w:val="2E74B5" w:themeColor="accent5" w:themeShade="BF"/>
              </w:rPr>
            </w:pPr>
            <w:r w:rsidRPr="007B2CDB">
              <w:rPr>
                <w:color w:val="2E74B5" w:themeColor="accent5" w:themeShade="BF"/>
              </w:rPr>
              <w:t>The resourcing of any review could be as small as a single person (such as the service manager) or as large as a multidisciplinary team</w:t>
            </w:r>
            <w:r>
              <w:rPr>
                <w:color w:val="2E74B5" w:themeColor="accent5" w:themeShade="BF"/>
              </w:rPr>
              <w:t>.</w:t>
            </w:r>
          </w:p>
        </w:tc>
      </w:tr>
      <w:tr w:rsidR="005E76D5" w:rsidTr="001B7314">
        <w:tc>
          <w:tcPr>
            <w:tcW w:w="1980" w:type="dxa"/>
          </w:tcPr>
          <w:p w:rsidR="005E76D5" w:rsidRDefault="005E76D5" w:rsidP="007B2CDB">
            <w:r>
              <w:t>Performance</w:t>
            </w:r>
          </w:p>
        </w:tc>
        <w:tc>
          <w:tcPr>
            <w:tcW w:w="8476" w:type="dxa"/>
          </w:tcPr>
          <w:p w:rsidR="005E76D5" w:rsidRPr="007B2CDB" w:rsidRDefault="0057417C" w:rsidP="007B2CDB">
            <w:pPr>
              <w:rPr>
                <w:color w:val="2E74B5" w:themeColor="accent5" w:themeShade="BF"/>
              </w:rPr>
            </w:pPr>
            <w:r>
              <w:rPr>
                <w:color w:val="2E74B5" w:themeColor="accent5" w:themeShade="BF"/>
              </w:rPr>
              <w:t>A</w:t>
            </w:r>
            <w:r w:rsidR="005E76D5" w:rsidRPr="005E76D5">
              <w:rPr>
                <w:color w:val="2E74B5" w:themeColor="accent5" w:themeShade="BF"/>
              </w:rPr>
              <w:t>ssess the effectiveness of the current arrangements in achieving the rationale for service delivery</w:t>
            </w:r>
          </w:p>
        </w:tc>
      </w:tr>
      <w:tr w:rsidR="005E76D5" w:rsidTr="001B7314">
        <w:tc>
          <w:tcPr>
            <w:tcW w:w="1980" w:type="dxa"/>
          </w:tcPr>
          <w:p w:rsidR="005E76D5" w:rsidRDefault="0057417C" w:rsidP="007B2CDB">
            <w:r>
              <w:t>Benchmarking</w:t>
            </w:r>
          </w:p>
        </w:tc>
        <w:tc>
          <w:tcPr>
            <w:tcW w:w="8476" w:type="dxa"/>
          </w:tcPr>
          <w:p w:rsidR="005E76D5" w:rsidRDefault="0057417C" w:rsidP="007B2CDB">
            <w:pPr>
              <w:rPr>
                <w:color w:val="2E74B5" w:themeColor="accent5" w:themeShade="BF"/>
              </w:rPr>
            </w:pPr>
            <w:r>
              <w:rPr>
                <w:color w:val="2E74B5" w:themeColor="accent5" w:themeShade="BF"/>
              </w:rPr>
              <w:t xml:space="preserve">Compare the service to other libraries serving communities of similar sizes </w:t>
            </w:r>
          </w:p>
          <w:p w:rsidR="0057417C" w:rsidRDefault="0057417C" w:rsidP="007B2CDB">
            <w:pPr>
              <w:rPr>
                <w:color w:val="2E74B5" w:themeColor="accent5" w:themeShade="BF"/>
              </w:rPr>
            </w:pPr>
          </w:p>
          <w:p w:rsidR="0057417C" w:rsidRDefault="0057417C" w:rsidP="0057417C">
            <w:pPr>
              <w:rPr>
                <w:color w:val="2E74B5" w:themeColor="accent5" w:themeShade="BF"/>
              </w:rPr>
            </w:pPr>
            <w:r w:rsidRPr="005E76D5">
              <w:t xml:space="preserve">NSW Home Library Services in New South Wales </w:t>
            </w:r>
            <w:proofErr w:type="spellStart"/>
            <w:r w:rsidRPr="005E76D5">
              <w:t>Statewide</w:t>
            </w:r>
            <w:proofErr w:type="spellEnd"/>
            <w:r w:rsidRPr="005E76D5">
              <w:t xml:space="preserve"> Survey results </w:t>
            </w:r>
            <w:r>
              <w:t>indicate</w:t>
            </w:r>
            <w:r w:rsidRPr="005E76D5">
              <w:t xml:space="preserve"> </w:t>
            </w:r>
            <w:r>
              <w:t>a</w:t>
            </w:r>
            <w:r w:rsidRPr="005E76D5">
              <w:t xml:space="preserve"> range of information that can be considered </w:t>
            </w:r>
            <w:hyperlink r:id="rId9" w:history="1">
              <w:r>
                <w:rPr>
                  <w:rStyle w:val="Hyperlink"/>
                </w:rPr>
                <w:t>https://www.sl.nsw.gov.au/public-library-services/home-library-services</w:t>
              </w:r>
            </w:hyperlink>
            <w:r>
              <w:t xml:space="preserve"> </w:t>
            </w:r>
          </w:p>
          <w:p w:rsidR="0057417C" w:rsidRDefault="0057417C" w:rsidP="007B2CDB"/>
          <w:p w:rsidR="0057417C" w:rsidRDefault="0057417C" w:rsidP="007B2CDB">
            <w:r w:rsidRPr="0057417C">
              <w:t xml:space="preserve">Living Learning Libraries population-based peer cohorts for benchmarking, allowing easier comparisons among library services based on the populations of their communities </w:t>
            </w:r>
            <w:hyperlink r:id="rId10" w:history="1">
              <w:r>
                <w:rPr>
                  <w:rStyle w:val="Hyperlink"/>
                </w:rPr>
                <w:t>https://www.sl.nsw.gov.au/public-library-services/content/living-learning-libraries</w:t>
              </w:r>
            </w:hyperlink>
            <w:r>
              <w:t xml:space="preserve"> </w:t>
            </w:r>
          </w:p>
          <w:p w:rsidR="0057417C" w:rsidRPr="007B2CDB" w:rsidRDefault="0057417C" w:rsidP="007B2CDB">
            <w:pPr>
              <w:rPr>
                <w:color w:val="2E74B5" w:themeColor="accent5" w:themeShade="BF"/>
              </w:rPr>
            </w:pPr>
          </w:p>
        </w:tc>
      </w:tr>
      <w:tr w:rsidR="0057417C" w:rsidTr="001B7314">
        <w:tc>
          <w:tcPr>
            <w:tcW w:w="1980" w:type="dxa"/>
          </w:tcPr>
          <w:p w:rsidR="0057417C" w:rsidRDefault="0057417C" w:rsidP="007B2CDB">
            <w:r>
              <w:t>Future opportunities and challenges</w:t>
            </w:r>
          </w:p>
          <w:p w:rsidR="0057417C" w:rsidRDefault="0057417C" w:rsidP="007B2CDB"/>
        </w:tc>
        <w:tc>
          <w:tcPr>
            <w:tcW w:w="8476" w:type="dxa"/>
          </w:tcPr>
          <w:p w:rsidR="0057417C" w:rsidRPr="0057417C" w:rsidRDefault="0057417C" w:rsidP="0057417C">
            <w:pPr>
              <w:pStyle w:val="NormalWeb"/>
              <w:shd w:val="clear" w:color="auto" w:fill="FFFFFF"/>
              <w:spacing w:before="0" w:beforeAutospacing="0" w:after="336" w:afterAutospacing="0"/>
              <w:rPr>
                <w:rFonts w:asciiTheme="minorHAnsi" w:hAnsiTheme="minorHAnsi" w:cstheme="minorHAnsi"/>
                <w:color w:val="333333"/>
                <w:sz w:val="22"/>
                <w:szCs w:val="22"/>
              </w:rPr>
            </w:pPr>
            <w:r>
              <w:rPr>
                <w:rFonts w:asciiTheme="minorHAnsi" w:hAnsiTheme="minorHAnsi" w:cstheme="minorHAnsi"/>
                <w:color w:val="333333"/>
                <w:sz w:val="22"/>
                <w:szCs w:val="22"/>
              </w:rPr>
              <w:t>“</w:t>
            </w:r>
            <w:r w:rsidRPr="0057417C">
              <w:rPr>
                <w:rFonts w:asciiTheme="minorHAnsi" w:hAnsiTheme="minorHAnsi" w:cstheme="minorHAnsi"/>
                <w:color w:val="333333"/>
                <w:sz w:val="22"/>
                <w:szCs w:val="22"/>
              </w:rPr>
              <w:t>Australia’s population is ageing. On average, we are living longer in greater numbers than ever before. Older Australians represent a steadily increasing proportion of our total population and we continue to have one of the longest life expectancies in the world. The proportion of people aged 65 years or over in the total population is projected to increase from 15% at 30 June 2017 to between 21% and 23% in 2066.</w:t>
            </w:r>
            <w:r>
              <w:rPr>
                <w:rFonts w:asciiTheme="minorHAnsi" w:hAnsiTheme="minorHAnsi" w:cstheme="minorHAnsi"/>
                <w:color w:val="333333"/>
                <w:sz w:val="22"/>
                <w:szCs w:val="22"/>
              </w:rPr>
              <w:t xml:space="preserve">”  </w:t>
            </w:r>
            <w:r w:rsidRPr="0057417C">
              <w:rPr>
                <w:rFonts w:asciiTheme="minorHAnsi" w:hAnsiTheme="minorHAnsi" w:cstheme="minorHAnsi"/>
                <w:color w:val="333333"/>
                <w:sz w:val="22"/>
                <w:szCs w:val="22"/>
              </w:rPr>
              <w:t>Source: </w:t>
            </w:r>
            <w:hyperlink r:id="rId11" w:tooltip="https://www.abs.gov.au/ausstats/abs@.nsf/latestProducts/3222.0Media%20Release12017%20(base)%20-%202066" w:history="1">
              <w:r w:rsidRPr="0057417C">
                <w:rPr>
                  <w:rStyle w:val="Hyperlink"/>
                  <w:rFonts w:asciiTheme="minorHAnsi" w:eastAsiaTheme="majorEastAsia" w:hAnsiTheme="minorHAnsi" w:cstheme="minorHAnsi"/>
                  <w:color w:val="2B73B7"/>
                  <w:sz w:val="22"/>
                  <w:szCs w:val="22"/>
                </w:rPr>
                <w:t>Australian Bureau of Statistics, Population projections in Australia, 2017 (base)—2066 (Catalogue 3222.0)</w:t>
              </w:r>
            </w:hyperlink>
          </w:p>
          <w:p w:rsidR="0057417C" w:rsidRDefault="0057417C" w:rsidP="007B2CDB">
            <w:pPr>
              <w:rPr>
                <w:rFonts w:cstheme="minorHAnsi"/>
                <w:color w:val="2E74B5" w:themeColor="accent5" w:themeShade="BF"/>
              </w:rPr>
            </w:pPr>
            <w:r>
              <w:rPr>
                <w:rFonts w:cstheme="minorHAnsi"/>
                <w:color w:val="2E74B5" w:themeColor="accent5" w:themeShade="BF"/>
              </w:rPr>
              <w:t>What demographic trends are evident in the LGA?</w:t>
            </w:r>
          </w:p>
          <w:p w:rsidR="0057417C" w:rsidRDefault="0057417C" w:rsidP="007B2CDB">
            <w:pPr>
              <w:rPr>
                <w:rFonts w:cstheme="minorHAnsi"/>
                <w:color w:val="2E74B5" w:themeColor="accent5" w:themeShade="BF"/>
              </w:rPr>
            </w:pPr>
          </w:p>
          <w:p w:rsidR="0057417C" w:rsidRDefault="0057417C" w:rsidP="007B2CDB">
            <w:pPr>
              <w:rPr>
                <w:rFonts w:cstheme="minorHAnsi"/>
                <w:color w:val="2E74B5" w:themeColor="accent5" w:themeShade="BF"/>
              </w:rPr>
            </w:pPr>
            <w:r>
              <w:rPr>
                <w:rFonts w:cstheme="minorHAnsi"/>
                <w:color w:val="2E74B5" w:themeColor="accent5" w:themeShade="BF"/>
              </w:rPr>
              <w:t>What technology and other resources will provide opportunities?</w:t>
            </w:r>
          </w:p>
          <w:p w:rsidR="0057417C" w:rsidRDefault="0057417C" w:rsidP="007B2CDB">
            <w:pPr>
              <w:rPr>
                <w:rFonts w:cstheme="minorHAnsi"/>
                <w:color w:val="2E74B5" w:themeColor="accent5" w:themeShade="BF"/>
              </w:rPr>
            </w:pPr>
          </w:p>
          <w:p w:rsidR="0057417C" w:rsidRDefault="0057417C" w:rsidP="007B2CDB">
            <w:pPr>
              <w:rPr>
                <w:rFonts w:cstheme="minorHAnsi"/>
                <w:color w:val="2E74B5" w:themeColor="accent5" w:themeShade="BF"/>
              </w:rPr>
            </w:pPr>
            <w:r>
              <w:rPr>
                <w:rFonts w:cstheme="minorHAnsi"/>
                <w:color w:val="2E74B5" w:themeColor="accent5" w:themeShade="BF"/>
              </w:rPr>
              <w:t>Staff skills, knowledge and attributes required?</w:t>
            </w:r>
          </w:p>
          <w:p w:rsidR="0057417C" w:rsidRPr="0057417C" w:rsidRDefault="0057417C" w:rsidP="007B2CDB">
            <w:pPr>
              <w:rPr>
                <w:rFonts w:cstheme="minorHAnsi"/>
                <w:color w:val="2E74B5" w:themeColor="accent5" w:themeShade="BF"/>
              </w:rPr>
            </w:pPr>
          </w:p>
        </w:tc>
      </w:tr>
      <w:tr w:rsidR="005E76D5" w:rsidTr="001B7314">
        <w:tc>
          <w:tcPr>
            <w:tcW w:w="1980" w:type="dxa"/>
          </w:tcPr>
          <w:p w:rsidR="005E76D5" w:rsidRDefault="005E76D5" w:rsidP="007B2CDB">
            <w:r>
              <w:t>Recommendations from the service delivery review:</w:t>
            </w:r>
          </w:p>
          <w:p w:rsidR="005E76D5" w:rsidRDefault="005E76D5" w:rsidP="007B2CDB"/>
        </w:tc>
        <w:tc>
          <w:tcPr>
            <w:tcW w:w="8476" w:type="dxa"/>
          </w:tcPr>
          <w:p w:rsidR="005E76D5" w:rsidRPr="007B2CDB" w:rsidRDefault="005E76D5" w:rsidP="007B2CDB">
            <w:pPr>
              <w:rPr>
                <w:color w:val="2E74B5" w:themeColor="accent5" w:themeShade="BF"/>
              </w:rPr>
            </w:pPr>
          </w:p>
        </w:tc>
      </w:tr>
      <w:tr w:rsidR="0057417C" w:rsidTr="001B7314">
        <w:tc>
          <w:tcPr>
            <w:tcW w:w="1980" w:type="dxa"/>
          </w:tcPr>
          <w:p w:rsidR="0057417C" w:rsidRDefault="0057417C" w:rsidP="007B2CDB">
            <w:r>
              <w:t>Report compiled by:</w:t>
            </w:r>
          </w:p>
        </w:tc>
        <w:tc>
          <w:tcPr>
            <w:tcW w:w="8476" w:type="dxa"/>
          </w:tcPr>
          <w:p w:rsidR="0057417C" w:rsidRPr="007B2CDB" w:rsidRDefault="0057417C" w:rsidP="007B2CDB">
            <w:pPr>
              <w:rPr>
                <w:color w:val="2E74B5" w:themeColor="accent5" w:themeShade="BF"/>
              </w:rPr>
            </w:pPr>
          </w:p>
        </w:tc>
      </w:tr>
    </w:tbl>
    <w:p w:rsidR="003D2413" w:rsidRDefault="003D2413" w:rsidP="003D2413">
      <w:pPr>
        <w:spacing w:after="0" w:line="240" w:lineRule="auto"/>
      </w:pPr>
    </w:p>
    <w:p w:rsidR="003D2413" w:rsidRDefault="003D2413" w:rsidP="003D2413">
      <w:r>
        <w:t> </w:t>
      </w:r>
    </w:p>
    <w:p w:rsidR="003D2413" w:rsidRDefault="003D2413" w:rsidP="003D2413"/>
    <w:sectPr w:rsidR="003D2413" w:rsidSect="003D2413">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CDB" w:rsidRDefault="007B2CDB" w:rsidP="007B2CDB">
      <w:pPr>
        <w:spacing w:after="0" w:line="240" w:lineRule="auto"/>
      </w:pPr>
      <w:r>
        <w:separator/>
      </w:r>
    </w:p>
  </w:endnote>
  <w:endnote w:type="continuationSeparator" w:id="0">
    <w:p w:rsidR="007B2CDB" w:rsidRDefault="007B2CDB" w:rsidP="007B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CDB" w:rsidRDefault="007B2CDB">
    <w:pPr>
      <w:pStyle w:val="Footer"/>
    </w:pPr>
    <w:r>
      <w:t xml:space="preserve">Home Library Service Review                                                                                                                                                         </w:t>
    </w:r>
    <w:r>
      <w:fldChar w:fldCharType="begin"/>
    </w:r>
    <w:r>
      <w:instrText xml:space="preserve"> PAGE  \* Arabic  \* MERGEFORMAT </w:instrText>
    </w:r>
    <w:r>
      <w:fldChar w:fldCharType="separate"/>
    </w:r>
    <w:r w:rsidR="00235B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CDB" w:rsidRDefault="007B2CDB" w:rsidP="007B2CDB">
      <w:pPr>
        <w:spacing w:after="0" w:line="240" w:lineRule="auto"/>
      </w:pPr>
      <w:r>
        <w:separator/>
      </w:r>
    </w:p>
  </w:footnote>
  <w:footnote w:type="continuationSeparator" w:id="0">
    <w:p w:rsidR="007B2CDB" w:rsidRDefault="007B2CDB" w:rsidP="007B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2AE"/>
    <w:multiLevelType w:val="hybridMultilevel"/>
    <w:tmpl w:val="F246F3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1031AB"/>
    <w:multiLevelType w:val="multilevel"/>
    <w:tmpl w:val="54907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725DDC"/>
    <w:multiLevelType w:val="multilevel"/>
    <w:tmpl w:val="2ED61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F0511F"/>
    <w:multiLevelType w:val="hybridMultilevel"/>
    <w:tmpl w:val="9612A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32B39FF"/>
    <w:multiLevelType w:val="multilevel"/>
    <w:tmpl w:val="5BDEE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413"/>
    <w:rsid w:val="001B7314"/>
    <w:rsid w:val="001F3785"/>
    <w:rsid w:val="00220E18"/>
    <w:rsid w:val="00235BE9"/>
    <w:rsid w:val="003D2413"/>
    <w:rsid w:val="00491F16"/>
    <w:rsid w:val="0057417C"/>
    <w:rsid w:val="005E76D5"/>
    <w:rsid w:val="007B2CDB"/>
    <w:rsid w:val="009E23A2"/>
    <w:rsid w:val="00E93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A7209"/>
  <w15:chartTrackingRefBased/>
  <w15:docId w15:val="{390D7B3B-CDB1-4D96-9891-65BBF005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4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24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4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241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D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B73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B7314"/>
    <w:pPr>
      <w:ind w:left="720"/>
      <w:contextualSpacing/>
    </w:pPr>
  </w:style>
  <w:style w:type="character" w:styleId="Hyperlink">
    <w:name w:val="Hyperlink"/>
    <w:basedOn w:val="DefaultParagraphFont"/>
    <w:uiPriority w:val="99"/>
    <w:semiHidden/>
    <w:unhideWhenUsed/>
    <w:rsid w:val="007B2CDB"/>
    <w:rPr>
      <w:color w:val="0000FF"/>
      <w:u w:val="single"/>
    </w:rPr>
  </w:style>
  <w:style w:type="paragraph" w:styleId="Header">
    <w:name w:val="header"/>
    <w:basedOn w:val="Normal"/>
    <w:link w:val="HeaderChar"/>
    <w:uiPriority w:val="99"/>
    <w:unhideWhenUsed/>
    <w:rsid w:val="007B2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CDB"/>
  </w:style>
  <w:style w:type="paragraph" w:styleId="Footer">
    <w:name w:val="footer"/>
    <w:basedOn w:val="Normal"/>
    <w:link w:val="FooterChar"/>
    <w:uiPriority w:val="99"/>
    <w:unhideWhenUsed/>
    <w:rsid w:val="007B2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CDB"/>
  </w:style>
  <w:style w:type="paragraph" w:styleId="NormalWeb">
    <w:name w:val="Normal (Web)"/>
    <w:basedOn w:val="Normal"/>
    <w:uiPriority w:val="99"/>
    <w:semiHidden/>
    <w:unhideWhenUsed/>
    <w:rsid w:val="0057417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530854">
      <w:bodyDiv w:val="1"/>
      <w:marLeft w:val="0"/>
      <w:marRight w:val="0"/>
      <w:marTop w:val="0"/>
      <w:marBottom w:val="0"/>
      <w:divBdr>
        <w:top w:val="none" w:sz="0" w:space="0" w:color="auto"/>
        <w:left w:val="none" w:sz="0" w:space="0" w:color="auto"/>
        <w:bottom w:val="none" w:sz="0" w:space="0" w:color="auto"/>
        <w:right w:val="none" w:sz="0" w:space="0" w:color="auto"/>
      </w:divBdr>
    </w:div>
    <w:div w:id="1517772735">
      <w:bodyDiv w:val="1"/>
      <w:marLeft w:val="0"/>
      <w:marRight w:val="0"/>
      <w:marTop w:val="0"/>
      <w:marBottom w:val="0"/>
      <w:divBdr>
        <w:top w:val="none" w:sz="0" w:space="0" w:color="auto"/>
        <w:left w:val="none" w:sz="0" w:space="0" w:color="auto"/>
        <w:bottom w:val="none" w:sz="0" w:space="0" w:color="auto"/>
        <w:right w:val="none" w:sz="0" w:space="0" w:color="auto"/>
      </w:divBdr>
      <w:divsChild>
        <w:div w:id="818612527">
          <w:marLeft w:val="0"/>
          <w:marRight w:val="0"/>
          <w:marTop w:val="0"/>
          <w:marBottom w:val="0"/>
          <w:divBdr>
            <w:top w:val="none" w:sz="0" w:space="0" w:color="auto"/>
            <w:left w:val="none" w:sz="0" w:space="0" w:color="auto"/>
            <w:bottom w:val="none" w:sz="0" w:space="0" w:color="auto"/>
            <w:right w:val="none" w:sz="0" w:space="0" w:color="auto"/>
          </w:divBdr>
        </w:div>
      </w:divsChild>
    </w:div>
    <w:div w:id="1658458817">
      <w:bodyDiv w:val="1"/>
      <w:marLeft w:val="0"/>
      <w:marRight w:val="0"/>
      <w:marTop w:val="0"/>
      <w:marBottom w:val="0"/>
      <w:divBdr>
        <w:top w:val="none" w:sz="0" w:space="0" w:color="auto"/>
        <w:left w:val="none" w:sz="0" w:space="0" w:color="auto"/>
        <w:bottom w:val="none" w:sz="0" w:space="0" w:color="auto"/>
        <w:right w:val="none" w:sz="0" w:space="0" w:color="auto"/>
      </w:divBdr>
    </w:div>
    <w:div w:id="20815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nsw.gov.au/public-library-services/home-library-serv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nsw.gov.au/public-library-services/content/living-learning-librar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s.gov.au/ausstats/abs@.nsf/latestProducts/3222.0Media%20Release12017%20(base)%20-%202066" TargetMode="External"/><Relationship Id="rId5" Type="http://schemas.openxmlformats.org/officeDocument/2006/relationships/footnotes" Target="footnotes.xml"/><Relationship Id="rId10" Type="http://schemas.openxmlformats.org/officeDocument/2006/relationships/hyperlink" Target="https://www.sl.nsw.gov.au/public-library-services/content/living-learning-libraries" TargetMode="External"/><Relationship Id="rId4" Type="http://schemas.openxmlformats.org/officeDocument/2006/relationships/webSettings" Target="webSettings.xml"/><Relationship Id="rId9" Type="http://schemas.openxmlformats.org/officeDocument/2006/relationships/hyperlink" Target="https://www.sl.nsw.gov.au/public-library-services/home-librar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4788</Characters>
  <Application>Microsoft Office Word</Application>
  <DocSecurity>0</DocSecurity>
  <Lines>122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Mylee Joseph</dc:creator>
  <cp:keywords/>
  <dc:description/>
  <cp:lastModifiedBy>Mylee Joseph</cp:lastModifiedBy>
  <cp:revision>4</cp:revision>
  <dcterms:created xsi:type="dcterms:W3CDTF">2019-06-17T01:32:00Z</dcterms:created>
  <dcterms:modified xsi:type="dcterms:W3CDTF">2019-06-17T01:33:00Z</dcterms:modified>
</cp:coreProperties>
</file>